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Lewis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Willamette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David Lewis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Kalapuya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Kalapuyans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David Lewis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more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wetlands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Lauri Holts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wildflowers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scattered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reestablish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Lauri Holts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adjacent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Lauri Holts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moisture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wildflowers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pollinators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perpetuating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contemporary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David Lewis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,000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,000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Lewis's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: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Willamette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McMurphey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Endowment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Story 3 - People  Place_mixdown (Completed  06/24/25)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24,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a3JVY5urnFfOHm9HsAFyGGjGzN_f3Bxsh0YsbDYlgG8sPnUC60coZYfcmOFZQs6KuHR-gOGjgh2-RPxw7TAmU8EI2X4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